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EXCELENTÍSSIMO SENHOR DOUTOR JUIZ DE DIREITO DA (...)</w:t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Processo nº (…)</w:t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advogados, nos autos da ação de alimentos que move em face de (...), processo em epígrafe, em trâmite perante esse e. Juízo, vem, respeitosamente, à presença de Vossa Excelência, promover o presente pedido de CUMPRIMENTO DE SENTENÇA (ou de decisão interlocutória que reconheceu obrigação de  prestar alimentos) (CPC, arts. 528 e seguintes), pelas razões de fato e direito a seguir aduzidas: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 força de sentença (ou: de decisão interlocutória), o exequente tornou-se credor do executado pela quantia de R$ (...), conforme cálculo aritmético anexo (ou abaixo demonstrado), que se encontra devidamente atualizado até a presente data nos moldes estabelecidos na decisão.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 w:eastAsia="Arial" w:cs="Arial"/>
          <w:color w:val="FF3300"/>
          <w:lang w:val="en-US"/>
        </w:rPr>
      </w:pPr>
      <w:r>
        <w:rPr>
          <w:rFonts w:ascii="Times New Roman" w:hAnsi="Times New Roman"/>
          <w:color w:val="FF3300"/>
          <w:sz w:val="28"/>
          <w:szCs w:val="28"/>
        </w:rPr>
        <w:t>(Planilha discriminada do débito)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Dessa forma, o executado deve ao exequente a quantia de R$ (...).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e na forma dos arts. 528, do Código de Processo Civil, requer-se a intimação do executado, na pessoa de seu advogado (CPC, art. 513, § 2º, I) (ou: por carta com aviso de recebimento na forma do art. 513, § 2º, II, do CPC, posto que representado por defensor público; ou: posto que não representado por advogado, que renunciou – fls...) (ou: por meio eletrônico, posto que pessoa jurídica não representada por advogado, na forma do art. 513, § 2º, III c/c § 1º do art. 246 do CPC) (ou: por edital, posto que revel, nos termos do  art. 513, § 2º, IV, do CPC), para efetuar o pagamento do quantum demonstrado,  no  prazo  de  3  (três)  dias,  sob  pena  de  prisão nos termos do § 3º do art. 528 do Código de Processo Civil.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efetuado o pagamento requer-se desde já, independentemente da prisão ou de novo pedido, ato contínuo, nos termos do art. 528, §  5º do CPC, a expedição de mandado de penhora e avaliação. (ou: o bloqueio de ativos financeiros pelo sistema Bacen-jud.)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4"/>
          <w:i/>
          <w:sz w:val="24"/>
          <w:i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34571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345712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345712"/>
    <w:rPr>
      <w:rFonts w:ascii="Arial" w:hAnsi="Arial" w:eastAsia="Arial" w:cs="Arial"/>
      <w:b/>
      <w:bCs/>
      <w:sz w:val="27"/>
      <w:szCs w:val="27"/>
      <w:lang w:val="en-US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345712"/>
    <w:rPr>
      <w:rFonts w:ascii="Tahoma" w:hAnsi="Tahoma" w:eastAsia="Arial" w:cs="Tahoma"/>
      <w:sz w:val="16"/>
      <w:szCs w:val="16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345712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896b27"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rsid w:val="00896b27"/>
    <w:rPr>
      <w:rFonts w:ascii="Arial" w:hAnsi="Arial" w:eastAsia="Arial" w:cs="Arial"/>
      <w:lang w:val="en-US"/>
    </w:rPr>
  </w:style>
  <w:style w:type="character" w:styleId="ListLabel1">
    <w:name w:val="ListLabel 1"/>
    <w:rPr>
      <w:rFonts w:eastAsia="Calibri" w:cs="Calibri"/>
      <w:b/>
      <w:bCs/>
      <w:spacing w:val="-15"/>
      <w:w w:val="97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345712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712"/>
    <w:pPr/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semiHidden/>
    <w:unhideWhenUsed/>
    <w:rsid w:val="00896b27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896b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LibreOffice/4.3.0.4$Windows_x86 LibreOffice_project/62ad5818884a2fc2e5780dd45466868d41009ec0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2016-03-16T20:16:00Z</dcterms:created>
  <dc:creator>Jessica Medeiros</dc:creator>
  <dc:language>pt-BR</dc:language>
  <dcterms:modified xsi:type="dcterms:W3CDTF">2016-03-18T13:24:19Z</dcterms:modified>
  <cp:revision>3</cp:revision>
</cp:coreProperties>
</file>